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F" w:rsidRPr="00622B52" w:rsidRDefault="000F0A2F" w:rsidP="000F0A2F">
      <w:pPr>
        <w:spacing w:before="120" w:after="0" w:line="360" w:lineRule="auto"/>
        <w:ind w:firstLine="709"/>
        <w:jc w:val="center"/>
        <w:rPr>
          <w:rFonts w:eastAsia="Arial Unicode MS" w:cstheme="minorHAnsi"/>
          <w:b/>
          <w:kern w:val="20"/>
          <w:szCs w:val="20"/>
        </w:rPr>
      </w:pPr>
    </w:p>
    <w:p w:rsidR="000F0A2F" w:rsidRPr="00622B52" w:rsidRDefault="000F0A2F" w:rsidP="000F0A2F">
      <w:pPr>
        <w:spacing w:after="0" w:line="360" w:lineRule="auto"/>
        <w:ind w:firstLine="709"/>
        <w:rPr>
          <w:rFonts w:eastAsia="Times New Roman" w:cstheme="minorHAnsi"/>
          <w:i/>
          <w:kern w:val="20"/>
          <w:szCs w:val="20"/>
        </w:rPr>
      </w:pPr>
    </w:p>
    <w:p w:rsidR="000F0A2F" w:rsidRPr="00622B52" w:rsidRDefault="000F0A2F" w:rsidP="000F0A2F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kern w:val="20"/>
          <w:szCs w:val="20"/>
        </w:rPr>
      </w:pPr>
      <w:r w:rsidRPr="00622B52">
        <w:rPr>
          <w:rFonts w:eastAsia="Times New Roman" w:cstheme="minorHAnsi"/>
          <w:b/>
          <w:color w:val="000000"/>
          <w:kern w:val="20"/>
          <w:szCs w:val="20"/>
        </w:rPr>
        <w:t xml:space="preserve">SPECYFIKACJA DOT. TOWARÓW – ARTYKUŁÓW SPOŻYWCZYCH </w:t>
      </w:r>
    </w:p>
    <w:p w:rsidR="000F0A2F" w:rsidRPr="00B80042" w:rsidRDefault="000F0A2F" w:rsidP="000F0A2F">
      <w:pPr>
        <w:jc w:val="center"/>
        <w:rPr>
          <w:b/>
          <w:sz w:val="24"/>
        </w:rPr>
      </w:pPr>
    </w:p>
    <w:tbl>
      <w:tblPr>
        <w:tblStyle w:val="Tabela-Siatka"/>
        <w:tblW w:w="11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623"/>
        <w:gridCol w:w="1276"/>
        <w:gridCol w:w="1489"/>
        <w:gridCol w:w="1398"/>
        <w:gridCol w:w="1702"/>
      </w:tblGrid>
      <w:tr w:rsidR="000F0A2F" w:rsidRPr="00994ADE" w:rsidTr="00D95BF1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0F0A2F" w:rsidRPr="00994ADE" w:rsidTr="00D95BF1">
        <w:trPr>
          <w:trHeight w:val="989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1</w:t>
            </w:r>
          </w:p>
        </w:tc>
        <w:tc>
          <w:tcPr>
            <w:tcW w:w="3261" w:type="dxa"/>
            <w:hideMark/>
          </w:tcPr>
          <w:p w:rsidR="000F0A2F" w:rsidRPr="00994ADE" w:rsidRDefault="000F0A2F" w:rsidP="00D95BF1">
            <w:r>
              <w:t xml:space="preserve">Herbata </w:t>
            </w:r>
            <w:r w:rsidRPr="00994ADE">
              <w:t xml:space="preserve">czarna ekspresowa pakowana w saszetkach,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zawierające 100 saszetek herbaty, 200g.</w:t>
            </w:r>
            <w:r w:rsidRPr="00994ADE">
              <w:t xml:space="preserve">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623" w:type="dxa"/>
            <w:hideMark/>
          </w:tcPr>
          <w:p w:rsidR="000F0A2F" w:rsidRPr="00994ADE" w:rsidRDefault="000F0A2F" w:rsidP="00D95BF1">
            <w:pPr>
              <w:jc w:val="center"/>
            </w:pPr>
            <w:r w:rsidRPr="00994ADE">
              <w:t>1 op</w:t>
            </w:r>
            <w:r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0F0A2F" w:rsidRPr="00994ADE" w:rsidRDefault="000F0A2F" w:rsidP="00D95BF1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994ADE">
              <w:t> </w:t>
            </w:r>
          </w:p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89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br/>
            </w:r>
          </w:p>
          <w:p w:rsidR="000F0A2F" w:rsidRPr="00994ADE" w:rsidRDefault="000F0A2F" w:rsidP="00D95BF1">
            <w:pPr>
              <w:shd w:val="clear" w:color="auto" w:fill="FFFFFF"/>
              <w:textAlignment w:val="baseline"/>
            </w:pPr>
          </w:p>
        </w:tc>
      </w:tr>
      <w:tr w:rsidR="000F0A2F" w:rsidRPr="00994ADE" w:rsidTr="00D95BF1">
        <w:trPr>
          <w:trHeight w:val="3000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2</w:t>
            </w:r>
          </w:p>
        </w:tc>
        <w:tc>
          <w:tcPr>
            <w:tcW w:w="3261" w:type="dxa"/>
            <w:hideMark/>
          </w:tcPr>
          <w:p w:rsidR="000F0A2F" w:rsidRPr="00994ADE" w:rsidRDefault="000F0A2F" w:rsidP="00D95BF1">
            <w:r w:rsidRPr="00994ADE">
              <w:t>Herbata smakowa/owocowa ekspresowa</w:t>
            </w:r>
            <w:r>
              <w:t xml:space="preserve"> (m.</w:t>
            </w:r>
            <w:r w:rsidRPr="00846BB7">
              <w:rPr>
                <w:szCs w:val="20"/>
              </w:rPr>
              <w:t xml:space="preserve">in. </w:t>
            </w:r>
            <w:r w:rsidRPr="00846BB7">
              <w:rPr>
                <w:rFonts w:cs="Segoe UI Light"/>
                <w:color w:val="000000"/>
                <w:szCs w:val="20"/>
                <w:shd w:val="clear" w:color="auto" w:fill="FFFFFF"/>
              </w:rPr>
              <w:t>zielona z cytryną i trawą cytrynową</w:t>
            </w:r>
            <w:r w:rsidRPr="00846BB7">
              <w:t xml:space="preserve"> </w:t>
            </w:r>
            <w:r w:rsidRPr="00994ADE">
              <w:t>truskawka, mango,</w:t>
            </w:r>
            <w:r>
              <w:t xml:space="preserve"> cytrusy, malina, jagoda</w:t>
            </w:r>
            <w:r w:rsidRPr="00994ADE">
              <w:t xml:space="preserve"> itp.) pakowana w saszetkach w kształcie piramidy lub prostokąta, do jednokrotnego zaparzenia, saszetki opatrzone w zawieszki ułatwiające zaparzanie or</w:t>
            </w:r>
            <w:r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623" w:type="dxa"/>
            <w:hideMark/>
          </w:tcPr>
          <w:p w:rsidR="000F0A2F" w:rsidRPr="00994ADE" w:rsidRDefault="000F0A2F" w:rsidP="00D95BF1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0F0A2F" w:rsidRPr="00994ADE" w:rsidRDefault="000F0A2F" w:rsidP="00D95BF1">
            <w:pPr>
              <w:jc w:val="center"/>
            </w:pPr>
            <w:r>
              <w:t>40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</w:tr>
      <w:tr w:rsidR="000F0A2F" w:rsidRPr="00994ADE" w:rsidTr="00D95BF1">
        <w:trPr>
          <w:trHeight w:val="740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3</w:t>
            </w:r>
          </w:p>
        </w:tc>
        <w:tc>
          <w:tcPr>
            <w:tcW w:w="3261" w:type="dxa"/>
            <w:hideMark/>
          </w:tcPr>
          <w:p w:rsidR="000F0A2F" w:rsidRPr="00994ADE" w:rsidRDefault="000F0A2F" w:rsidP="00D95BF1">
            <w:r>
              <w:t>Kawa mielona, pakowana w szczelnie zamykane opakowanie 5</w:t>
            </w:r>
            <w:r w:rsidRPr="00994ADE">
              <w:t xml:space="preserve">00g. Na opakowaniu w sposób </w:t>
            </w:r>
            <w:r w:rsidRPr="00994ADE">
              <w:lastRenderedPageBreak/>
              <w:t xml:space="preserve">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623" w:type="dxa"/>
            <w:hideMark/>
          </w:tcPr>
          <w:p w:rsidR="000F0A2F" w:rsidRPr="00994ADE" w:rsidRDefault="000F0A2F" w:rsidP="00D95BF1">
            <w:pPr>
              <w:jc w:val="center"/>
            </w:pPr>
            <w:r w:rsidRPr="00994ADE">
              <w:lastRenderedPageBreak/>
              <w:t>1 op</w:t>
            </w:r>
            <w:r>
              <w:t>.(5</w:t>
            </w:r>
            <w:r w:rsidRPr="00994ADE">
              <w:t>00g)</w:t>
            </w:r>
          </w:p>
        </w:tc>
        <w:tc>
          <w:tcPr>
            <w:tcW w:w="1276" w:type="dxa"/>
            <w:hideMark/>
          </w:tcPr>
          <w:p w:rsidR="000F0A2F" w:rsidRPr="00994ADE" w:rsidRDefault="000F0A2F" w:rsidP="00D95BF1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4ADE">
              <w:t> </w:t>
            </w:r>
          </w:p>
          <w:p w:rsidR="000F0A2F" w:rsidRPr="00994ADE" w:rsidRDefault="000F0A2F" w:rsidP="00D95BF1"/>
        </w:tc>
      </w:tr>
      <w:tr w:rsidR="000F0A2F" w:rsidRPr="00994ADE" w:rsidTr="00D95BF1">
        <w:trPr>
          <w:trHeight w:val="2100"/>
          <w:jc w:val="center"/>
        </w:trPr>
        <w:tc>
          <w:tcPr>
            <w:tcW w:w="562" w:type="dxa"/>
          </w:tcPr>
          <w:p w:rsidR="000F0A2F" w:rsidRDefault="000F0A2F" w:rsidP="00D95BF1">
            <w:r>
              <w:t>4</w:t>
            </w:r>
          </w:p>
        </w:tc>
        <w:tc>
          <w:tcPr>
            <w:tcW w:w="3261" w:type="dxa"/>
          </w:tcPr>
          <w:p w:rsidR="000F0A2F" w:rsidRDefault="000F0A2F" w:rsidP="00D95BF1">
            <w:r>
              <w:t xml:space="preserve">Kawa ziarnista, pakowana w szczelnie zamykanym opakowaniu 1  kg.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623" w:type="dxa"/>
          </w:tcPr>
          <w:p w:rsidR="000F0A2F" w:rsidRPr="00994ADE" w:rsidRDefault="000F0A2F" w:rsidP="00D95BF1">
            <w:pPr>
              <w:jc w:val="center"/>
            </w:pPr>
            <w:r>
              <w:t>1 op. (1 kg)</w:t>
            </w:r>
          </w:p>
        </w:tc>
        <w:tc>
          <w:tcPr>
            <w:tcW w:w="1276" w:type="dxa"/>
          </w:tcPr>
          <w:p w:rsidR="000F0A2F" w:rsidRDefault="000F0A2F" w:rsidP="00D95BF1">
            <w:pPr>
              <w:jc w:val="center"/>
            </w:pPr>
            <w:r>
              <w:t>20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0F0A2F" w:rsidRPr="00994ADE" w:rsidTr="00D95BF1">
        <w:trPr>
          <w:trHeight w:val="2100"/>
          <w:jc w:val="center"/>
        </w:trPr>
        <w:tc>
          <w:tcPr>
            <w:tcW w:w="562" w:type="dxa"/>
          </w:tcPr>
          <w:p w:rsidR="000F0A2F" w:rsidRDefault="000F0A2F" w:rsidP="00D95BF1">
            <w:r>
              <w:t>5</w:t>
            </w:r>
          </w:p>
        </w:tc>
        <w:tc>
          <w:tcPr>
            <w:tcW w:w="3261" w:type="dxa"/>
          </w:tcPr>
          <w:p w:rsidR="000F0A2F" w:rsidRDefault="000F0A2F" w:rsidP="00D95BF1">
            <w:r>
              <w:t>Kawa rozpuszczalna, pakowana w szczelnie zamykanym opakowaniu 200 g.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623" w:type="dxa"/>
          </w:tcPr>
          <w:p w:rsidR="000F0A2F" w:rsidRDefault="000F0A2F" w:rsidP="00D95BF1">
            <w:pPr>
              <w:jc w:val="center"/>
            </w:pPr>
            <w:r>
              <w:t>1 op. (200g)</w:t>
            </w:r>
          </w:p>
        </w:tc>
        <w:tc>
          <w:tcPr>
            <w:tcW w:w="1276" w:type="dxa"/>
          </w:tcPr>
          <w:p w:rsidR="000F0A2F" w:rsidRDefault="000F0A2F" w:rsidP="00D95BF1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0F0A2F" w:rsidRPr="00994ADE" w:rsidTr="00D95BF1">
        <w:trPr>
          <w:trHeight w:val="2100"/>
          <w:jc w:val="center"/>
        </w:trPr>
        <w:tc>
          <w:tcPr>
            <w:tcW w:w="562" w:type="dxa"/>
          </w:tcPr>
          <w:p w:rsidR="000F0A2F" w:rsidRDefault="000F0A2F" w:rsidP="00D95BF1">
            <w:r>
              <w:t>6</w:t>
            </w:r>
          </w:p>
        </w:tc>
        <w:tc>
          <w:tcPr>
            <w:tcW w:w="3261" w:type="dxa"/>
          </w:tcPr>
          <w:p w:rsidR="000F0A2F" w:rsidRDefault="000F0A2F" w:rsidP="00D95BF1">
            <w:r>
              <w:t>Mleko o zawartości tłuszczu 3,2%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623" w:type="dxa"/>
          </w:tcPr>
          <w:p w:rsidR="000F0A2F" w:rsidRPr="00994ADE" w:rsidRDefault="000F0A2F" w:rsidP="00D95BF1">
            <w:pPr>
              <w:jc w:val="center"/>
            </w:pPr>
            <w:r>
              <w:t>1 szt. (0,5l)</w:t>
            </w:r>
          </w:p>
        </w:tc>
        <w:tc>
          <w:tcPr>
            <w:tcW w:w="1276" w:type="dxa"/>
          </w:tcPr>
          <w:p w:rsidR="000F0A2F" w:rsidRDefault="000F0A2F" w:rsidP="00D95BF1">
            <w:pPr>
              <w:jc w:val="center"/>
            </w:pPr>
            <w:r>
              <w:t>40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</w:tbl>
    <w:p w:rsidR="000F0A2F" w:rsidRDefault="000F0A2F" w:rsidP="000F0A2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0F0A2F" w:rsidRDefault="000F0A2F" w:rsidP="00D95BF1"/>
        </w:tc>
        <w:tc>
          <w:tcPr>
            <w:tcW w:w="3591" w:type="dxa"/>
          </w:tcPr>
          <w:p w:rsidR="000F0A2F" w:rsidRDefault="000F0A2F" w:rsidP="00D95BF1"/>
        </w:tc>
      </w:tr>
    </w:tbl>
    <w:p w:rsidR="000F0A2F" w:rsidRDefault="000F0A2F" w:rsidP="000F0A2F"/>
    <w:p w:rsidR="000F0A2F" w:rsidRDefault="000F0A2F" w:rsidP="000F0A2F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0F0A2F" w:rsidRPr="00CC121F" w:rsidRDefault="000F0A2F" w:rsidP="000F0A2F"/>
    <w:p w:rsidR="009D05DD" w:rsidRPr="00CC121F" w:rsidRDefault="009D05DD" w:rsidP="000B6044">
      <w:pPr>
        <w:spacing w:line="360" w:lineRule="auto"/>
      </w:pPr>
      <w:bookmarkStart w:id="0" w:name="_GoBack"/>
      <w:bookmarkEnd w:id="0"/>
    </w:p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23" w:rsidRDefault="00D72723" w:rsidP="0096319C">
      <w:pPr>
        <w:spacing w:after="0" w:line="240" w:lineRule="auto"/>
      </w:pPr>
      <w:r>
        <w:separator/>
      </w:r>
    </w:p>
  </w:endnote>
  <w:endnote w:type="continuationSeparator" w:id="0">
    <w:p w:rsidR="00D72723" w:rsidRDefault="00D7272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23" w:rsidRDefault="00D72723" w:rsidP="0096319C">
      <w:pPr>
        <w:spacing w:after="0" w:line="240" w:lineRule="auto"/>
      </w:pPr>
      <w:r>
        <w:separator/>
      </w:r>
    </w:p>
  </w:footnote>
  <w:footnote w:type="continuationSeparator" w:id="0">
    <w:p w:rsidR="00D72723" w:rsidRDefault="00D7272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8"/>
  </w:num>
  <w:num w:numId="6">
    <w:abstractNumId w:val="31"/>
  </w:num>
  <w:num w:numId="7">
    <w:abstractNumId w:val="24"/>
  </w:num>
  <w:num w:numId="8">
    <w:abstractNumId w:val="19"/>
  </w:num>
  <w:num w:numId="9">
    <w:abstractNumId w:val="0"/>
  </w:num>
  <w:num w:numId="10">
    <w:abstractNumId w:val="3"/>
  </w:num>
  <w:num w:numId="11">
    <w:abstractNumId w:val="25"/>
  </w:num>
  <w:num w:numId="12">
    <w:abstractNumId w:val="7"/>
  </w:num>
  <w:num w:numId="13">
    <w:abstractNumId w:val="6"/>
  </w:num>
  <w:num w:numId="14">
    <w:abstractNumId w:val="18"/>
  </w:num>
  <w:num w:numId="15">
    <w:abstractNumId w:val="22"/>
  </w:num>
  <w:num w:numId="16">
    <w:abstractNumId w:val="26"/>
  </w:num>
  <w:num w:numId="17">
    <w:abstractNumId w:val="33"/>
  </w:num>
  <w:num w:numId="18">
    <w:abstractNumId w:val="11"/>
  </w:num>
  <w:num w:numId="19">
    <w:abstractNumId w:val="20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34"/>
  </w:num>
  <w:num w:numId="25">
    <w:abstractNumId w:val="9"/>
  </w:num>
  <w:num w:numId="26">
    <w:abstractNumId w:val="5"/>
  </w:num>
  <w:num w:numId="27">
    <w:abstractNumId w:val="35"/>
  </w:num>
  <w:num w:numId="28">
    <w:abstractNumId w:val="37"/>
  </w:num>
  <w:num w:numId="29">
    <w:abstractNumId w:val="12"/>
  </w:num>
  <w:num w:numId="30">
    <w:abstractNumId w:val="28"/>
  </w:num>
  <w:num w:numId="31">
    <w:abstractNumId w:val="14"/>
  </w:num>
  <w:num w:numId="32">
    <w:abstractNumId w:val="13"/>
  </w:num>
  <w:num w:numId="33">
    <w:abstractNumId w:val="23"/>
  </w:num>
  <w:num w:numId="34">
    <w:abstractNumId w:val="27"/>
  </w:num>
  <w:num w:numId="35">
    <w:abstractNumId w:val="38"/>
  </w:num>
  <w:num w:numId="36">
    <w:abstractNumId w:val="36"/>
  </w:num>
  <w:num w:numId="37">
    <w:abstractNumId w:val="1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4793F"/>
    <w:rsid w:val="00057691"/>
    <w:rsid w:val="000B6044"/>
    <w:rsid w:val="000F0A2F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78A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B5009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5CFA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71AA7"/>
    <w:rsid w:val="00D72723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A5C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CF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C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5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CFA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A5CFA"/>
    <w:rPr>
      <w:color w:val="C0C7B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7B58-4391-4133-9A1B-6A83C7F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2019-10-01T13:45:00Z</dcterms:created>
  <dcterms:modified xsi:type="dcterms:W3CDTF">2019-10-01T13:45:00Z</dcterms:modified>
</cp:coreProperties>
</file>