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4D0E83" w:rsidRDefault="00C72D95" w:rsidP="00C72D95">
      <w:pPr>
        <w:spacing w:after="0" w:line="360" w:lineRule="auto"/>
        <w:rPr>
          <w:rFonts w:ascii="Times New Roman" w:eastAsia="Times New Roman" w:hAnsi="Times New Roman" w:cs="DejaVu Sans"/>
          <w:b/>
          <w:i/>
          <w:kern w:val="20"/>
          <w:sz w:val="20"/>
          <w:szCs w:val="20"/>
        </w:rPr>
      </w:pPr>
    </w:p>
    <w:p w:rsidR="00C72D95" w:rsidRPr="004D0E83" w:rsidRDefault="00C72D95" w:rsidP="00C72D95">
      <w:pPr>
        <w:spacing w:after="0" w:line="360" w:lineRule="auto"/>
        <w:ind w:firstLine="709"/>
        <w:jc w:val="right"/>
        <w:rPr>
          <w:rFonts w:ascii="Times New Roman" w:eastAsia="Times New Roman" w:hAnsi="Times New Roman" w:cs="DejaVu Sans"/>
          <w:b/>
          <w:i/>
          <w:kern w:val="20"/>
          <w:sz w:val="20"/>
          <w:szCs w:val="20"/>
        </w:rPr>
      </w:pPr>
      <w:r w:rsidRPr="004D0E83">
        <w:rPr>
          <w:rFonts w:ascii="Times New Roman" w:eastAsia="Times New Roman" w:hAnsi="Times New Roman" w:cs="DejaVu Sans"/>
          <w:b/>
          <w:i/>
          <w:kern w:val="20"/>
          <w:sz w:val="20"/>
          <w:szCs w:val="20"/>
        </w:rPr>
        <w:t>Załącznik nr 2 do zapytania ofertowego</w:t>
      </w:r>
    </w:p>
    <w:p w:rsidR="00C72D95" w:rsidRPr="00C72D95" w:rsidRDefault="00C72D95" w:rsidP="00C72D95">
      <w:pPr>
        <w:spacing w:before="120" w:after="0" w:line="360" w:lineRule="auto"/>
        <w:ind w:firstLine="709"/>
        <w:jc w:val="center"/>
        <w:rPr>
          <w:rFonts w:ascii="Times New Roman" w:eastAsia="Arial Unicode MS" w:hAnsi="Times New Roman" w:cs="DejaVu Sans"/>
          <w:b/>
          <w:kern w:val="20"/>
          <w:sz w:val="20"/>
          <w:szCs w:val="20"/>
        </w:rPr>
      </w:pPr>
    </w:p>
    <w:p w:rsidR="00C72D95" w:rsidRPr="00C72D95" w:rsidRDefault="00C72D95" w:rsidP="00C72D95">
      <w:pPr>
        <w:spacing w:after="0" w:line="360" w:lineRule="auto"/>
        <w:jc w:val="right"/>
        <w:rPr>
          <w:rFonts w:ascii="Times New Roman" w:eastAsia="Times New Roman" w:hAnsi="Times New Roman" w:cs="DejaVu Sans"/>
          <w:kern w:val="20"/>
          <w:sz w:val="20"/>
          <w:szCs w:val="20"/>
        </w:rPr>
      </w:pPr>
      <w:r w:rsidRPr="00C72D95">
        <w:rPr>
          <w:rFonts w:ascii="Times New Roman" w:eastAsia="Times New Roman" w:hAnsi="Times New Roman" w:cs="DejaVu Sans"/>
          <w:kern w:val="20"/>
          <w:sz w:val="20"/>
          <w:szCs w:val="20"/>
        </w:rPr>
        <w:t>…………………, dnia …………</w:t>
      </w:r>
    </w:p>
    <w:p w:rsidR="00C72D95" w:rsidRPr="00C72D95" w:rsidRDefault="00C72D95" w:rsidP="00C72D95">
      <w:pPr>
        <w:spacing w:after="0" w:line="360" w:lineRule="auto"/>
        <w:ind w:firstLine="709"/>
        <w:rPr>
          <w:rFonts w:ascii="Times New Roman" w:eastAsia="Times New Roman" w:hAnsi="Times New Roman" w:cs="DejaVu Sans"/>
          <w:kern w:val="20"/>
          <w:sz w:val="20"/>
          <w:szCs w:val="20"/>
        </w:rPr>
      </w:pPr>
      <w:r w:rsidRPr="00C72D95">
        <w:rPr>
          <w:rFonts w:ascii="Times New Roman" w:eastAsia="Times New Roman" w:hAnsi="Times New Roman" w:cs="DejaVu Sans"/>
          <w:kern w:val="20"/>
          <w:sz w:val="20"/>
          <w:szCs w:val="20"/>
        </w:rPr>
        <w:t>………………………………………………….</w:t>
      </w:r>
    </w:p>
    <w:p w:rsidR="00C72D95" w:rsidRPr="00C72D95" w:rsidRDefault="00C72D95" w:rsidP="00C72D95">
      <w:pPr>
        <w:spacing w:after="0" w:line="360" w:lineRule="auto"/>
        <w:ind w:firstLine="709"/>
        <w:rPr>
          <w:rFonts w:ascii="Calibri" w:eastAsia="Times New Roman" w:hAnsi="Calibri" w:cs="DejaVu Sans"/>
          <w:kern w:val="20"/>
          <w:sz w:val="20"/>
          <w:szCs w:val="20"/>
        </w:rPr>
      </w:pPr>
      <w:r w:rsidRPr="00C72D95">
        <w:rPr>
          <w:rFonts w:ascii="Calibri" w:eastAsia="Times New Roman" w:hAnsi="Calibri" w:cs="DejaVu Sans"/>
          <w:kern w:val="20"/>
          <w:sz w:val="20"/>
          <w:szCs w:val="20"/>
        </w:rPr>
        <w:t>Dane adresowe Wykonawcy</w:t>
      </w:r>
    </w:p>
    <w:p w:rsidR="00C72D95" w:rsidRPr="00C72D95" w:rsidRDefault="00C72D95" w:rsidP="00C72D95">
      <w:pPr>
        <w:spacing w:after="0" w:line="360" w:lineRule="auto"/>
        <w:ind w:firstLine="709"/>
        <w:rPr>
          <w:rFonts w:ascii="Cambria" w:eastAsia="Times New Roman" w:hAnsi="Cambria" w:cs="DejaVu Sans"/>
          <w:i/>
          <w:kern w:val="20"/>
          <w:szCs w:val="20"/>
        </w:rPr>
      </w:pPr>
    </w:p>
    <w:p w:rsidR="00CE7724" w:rsidRDefault="00CE7724" w:rsidP="00CE7724">
      <w:r>
        <w:t xml:space="preserve">Dotyczy zapytania ofertowego </w:t>
      </w:r>
      <w:r w:rsidRPr="00D82D3E">
        <w:rPr>
          <w:b/>
        </w:rPr>
        <w:t xml:space="preserve">nr </w:t>
      </w:r>
      <w:r w:rsidR="00232177">
        <w:rPr>
          <w:b/>
        </w:rPr>
        <w:t>0</w:t>
      </w:r>
      <w:r w:rsidR="00945076">
        <w:rPr>
          <w:b/>
        </w:rPr>
        <w:t>5</w:t>
      </w:r>
      <w:r w:rsidR="00D82D3E" w:rsidRPr="00D82D3E">
        <w:rPr>
          <w:b/>
        </w:rPr>
        <w:t>/0</w:t>
      </w:r>
      <w:r w:rsidR="00232177">
        <w:rPr>
          <w:b/>
        </w:rPr>
        <w:t>6</w:t>
      </w:r>
      <w:r w:rsidR="00D82D3E" w:rsidRPr="00D82D3E">
        <w:rPr>
          <w:b/>
        </w:rPr>
        <w:t>/2018/B</w:t>
      </w:r>
      <w:r w:rsidR="00232177">
        <w:rPr>
          <w:b/>
        </w:rPr>
        <w:t>I</w:t>
      </w:r>
      <w:r w:rsidR="00D82D3E" w:rsidRPr="00D82D3E">
        <w:rPr>
          <w:b/>
        </w:rPr>
        <w:t xml:space="preserve"> z dnia </w:t>
      </w:r>
      <w:r w:rsidR="00232177">
        <w:rPr>
          <w:b/>
        </w:rPr>
        <w:t>1</w:t>
      </w:r>
      <w:r w:rsidR="00945076">
        <w:rPr>
          <w:b/>
        </w:rPr>
        <w:t>5</w:t>
      </w:r>
      <w:bookmarkStart w:id="0" w:name="_GoBack"/>
      <w:bookmarkEnd w:id="0"/>
      <w:r w:rsidR="00D82D3E" w:rsidRPr="00D82D3E">
        <w:rPr>
          <w:b/>
        </w:rPr>
        <w:t>.0</w:t>
      </w:r>
      <w:r w:rsidR="00232177">
        <w:rPr>
          <w:b/>
        </w:rPr>
        <w:t>6</w:t>
      </w:r>
      <w:r w:rsidR="00D82D3E" w:rsidRPr="00D82D3E">
        <w:rPr>
          <w:b/>
        </w:rPr>
        <w:t>.2018 r.</w:t>
      </w:r>
      <w:r w:rsidR="00D82D3E">
        <w:t xml:space="preserve">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C72D95" w:rsidRPr="00C72D95" w:rsidRDefault="00C72D95" w:rsidP="00C72D95">
      <w:pPr>
        <w:spacing w:after="0" w:line="360" w:lineRule="auto"/>
        <w:ind w:firstLine="708"/>
        <w:jc w:val="center"/>
        <w:rPr>
          <w:rFonts w:ascii="Times New Roman" w:eastAsia="Times New Roman" w:hAnsi="Times New Roman" w:cs="DejaVu Sans"/>
          <w:b/>
          <w:bCs/>
          <w:kern w:val="20"/>
          <w:sz w:val="20"/>
          <w:szCs w:val="20"/>
        </w:rPr>
      </w:pPr>
      <w:r w:rsidRPr="00C72D95">
        <w:rPr>
          <w:rFonts w:ascii="Times New Roman" w:eastAsia="Times New Roman" w:hAnsi="Times New Roman" w:cs="DejaVu Sans"/>
          <w:b/>
          <w:color w:val="000000"/>
          <w:kern w:val="20"/>
          <w:sz w:val="20"/>
          <w:szCs w:val="20"/>
        </w:rPr>
        <w:t>SPECYFIKACJA DOT. TOWARÓW – ARTYKUŁÓW SPOŻYWCZYCH</w:t>
      </w:r>
      <w:r w:rsidR="00945F5D">
        <w:rPr>
          <w:rFonts w:ascii="Times New Roman" w:eastAsia="Times New Roman" w:hAnsi="Times New Roman" w:cs="DejaVu Sans"/>
          <w:b/>
          <w:color w:val="000000"/>
          <w:kern w:val="20"/>
          <w:sz w:val="20"/>
          <w:szCs w:val="20"/>
        </w:rPr>
        <w:t xml:space="preserve"> I JEDNOKROTNEGO UŻYTKU </w:t>
      </w:r>
    </w:p>
    <w:tbl>
      <w:tblPr>
        <w:tblW w:w="14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1"/>
        <w:gridCol w:w="1700"/>
        <w:gridCol w:w="1700"/>
        <w:gridCol w:w="1700"/>
        <w:gridCol w:w="1700"/>
        <w:gridCol w:w="1842"/>
      </w:tblGrid>
      <w:tr w:rsidR="00C72D95" w:rsidRPr="00C72D95" w:rsidTr="00982CF1">
        <w:tc>
          <w:tcPr>
            <w:tcW w:w="567" w:type="dxa"/>
            <w:shd w:val="clear" w:color="auto" w:fill="BFBFBF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Ll.p.</w:t>
            </w:r>
          </w:p>
        </w:tc>
        <w:tc>
          <w:tcPr>
            <w:tcW w:w="5101" w:type="dxa"/>
            <w:shd w:val="clear" w:color="auto" w:fill="BFBFBF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Nazwa artykułu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left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Ilość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Cena jednostkowa netto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Cena jednostkowa brutto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Łączna cena netto</w:t>
            </w:r>
          </w:p>
        </w:tc>
        <w:tc>
          <w:tcPr>
            <w:tcW w:w="1842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Łączna cena brutto</w:t>
            </w:r>
          </w:p>
        </w:tc>
      </w:tr>
      <w:tr w:rsidR="00C72D95" w:rsidRPr="00C72D95" w:rsidTr="00BC01F3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11.</w:t>
            </w:r>
          </w:p>
        </w:tc>
        <w:tc>
          <w:tcPr>
            <w:tcW w:w="5101" w:type="dxa"/>
          </w:tcPr>
          <w:p w:rsidR="00C72D95" w:rsidRPr="00C72D95" w:rsidRDefault="00477B5F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477B5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WODA GAZOWANA 1,5 L. Jednostka sprzedaży 1 zgrzewka (ilość w zgrzewce 6 sztuk).</w:t>
            </w:r>
          </w:p>
        </w:tc>
        <w:tc>
          <w:tcPr>
            <w:tcW w:w="1700" w:type="dxa"/>
            <w:vAlign w:val="center"/>
          </w:tcPr>
          <w:p w:rsidR="00C72D95" w:rsidRPr="00337299" w:rsidRDefault="00337299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28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D5086B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22.</w:t>
            </w:r>
          </w:p>
        </w:tc>
        <w:tc>
          <w:tcPr>
            <w:tcW w:w="5101" w:type="dxa"/>
          </w:tcPr>
          <w:p w:rsidR="00C72D95" w:rsidRPr="00C72D95" w:rsidRDefault="00477B5F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477B5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WODA NIEGAZOWANA 1,5 L. Jednostka sprzedaży 1 zgrzewka (ilość w zgrzewce 6 sztuk).</w:t>
            </w:r>
          </w:p>
        </w:tc>
        <w:tc>
          <w:tcPr>
            <w:tcW w:w="1700" w:type="dxa"/>
            <w:vAlign w:val="center"/>
          </w:tcPr>
          <w:p w:rsidR="00C72D95" w:rsidRPr="00337299" w:rsidRDefault="00337299" w:rsidP="00D5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29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BC01F3">
        <w:trPr>
          <w:trHeight w:val="914"/>
        </w:trPr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33.</w:t>
            </w:r>
          </w:p>
        </w:tc>
        <w:tc>
          <w:tcPr>
            <w:tcW w:w="5101" w:type="dxa"/>
          </w:tcPr>
          <w:p w:rsidR="00C72D95" w:rsidRPr="00C72D95" w:rsidRDefault="00477B5F" w:rsidP="00DE44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477B5F">
              <w:rPr>
                <w:rFonts w:ascii="Calibri" w:eastAsia="Times New Roman" w:hAnsi="Calibri" w:cs="Times New Roman"/>
                <w:sz w:val="20"/>
              </w:rPr>
              <w:t>HERBATA Czarna ekspresowa, pakowana w torebki jednorazowe, wykończone sznureczkiem. Jednostka sprzedaży 1 opakowanie (ilość sztuk w opakowaniu 100 torebek).</w:t>
            </w:r>
          </w:p>
        </w:tc>
        <w:tc>
          <w:tcPr>
            <w:tcW w:w="1700" w:type="dxa"/>
            <w:vAlign w:val="center"/>
          </w:tcPr>
          <w:p w:rsidR="00C72D95" w:rsidRPr="00337299" w:rsidRDefault="0089290C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28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D5086B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44.</w:t>
            </w:r>
          </w:p>
        </w:tc>
        <w:tc>
          <w:tcPr>
            <w:tcW w:w="5101" w:type="dxa"/>
          </w:tcPr>
          <w:p w:rsidR="00C72D95" w:rsidRPr="00C72D95" w:rsidRDefault="00477B5F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477B5F">
              <w:rPr>
                <w:rFonts w:ascii="Calibri" w:eastAsia="Times New Roman" w:hAnsi="Calibri" w:cs="Times New Roman"/>
                <w:sz w:val="20"/>
              </w:rPr>
              <w:t>Herbata owocowa (4 smaki), ekspresowa, pakowana w torebki jednorazowe. Jednostka sprzedaży 1 opakowanie (ilość sztuk w opakowaniu 20 torebek).</w:t>
            </w:r>
          </w:p>
        </w:tc>
        <w:tc>
          <w:tcPr>
            <w:tcW w:w="1700" w:type="dxa"/>
            <w:vAlign w:val="center"/>
          </w:tcPr>
          <w:p w:rsidR="00C72D95" w:rsidRPr="00337299" w:rsidRDefault="0089290C" w:rsidP="00D5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56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BC01F3">
        <w:trPr>
          <w:trHeight w:val="643"/>
        </w:trPr>
        <w:tc>
          <w:tcPr>
            <w:tcW w:w="567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55.</w:t>
            </w:r>
          </w:p>
        </w:tc>
        <w:tc>
          <w:tcPr>
            <w:tcW w:w="5101" w:type="dxa"/>
          </w:tcPr>
          <w:p w:rsidR="00C72D95" w:rsidRPr="00C72D95" w:rsidRDefault="00477B5F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477B5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Kawa rozpuszczalna. Jednostka sprzedaży 1 opakowanie (250g).</w:t>
            </w:r>
          </w:p>
        </w:tc>
        <w:tc>
          <w:tcPr>
            <w:tcW w:w="1700" w:type="dxa"/>
            <w:vAlign w:val="center"/>
          </w:tcPr>
          <w:p w:rsidR="00C72D95" w:rsidRPr="00337299" w:rsidRDefault="0089290C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28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BC01F3">
        <w:trPr>
          <w:trHeight w:val="451"/>
        </w:trPr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66.</w:t>
            </w:r>
          </w:p>
        </w:tc>
        <w:tc>
          <w:tcPr>
            <w:tcW w:w="5101" w:type="dxa"/>
            <w:vAlign w:val="bottom"/>
          </w:tcPr>
          <w:p w:rsidR="00C72D95" w:rsidRPr="00C72D95" w:rsidRDefault="00477B5F" w:rsidP="00C72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477B5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Kawa naturalna mielona, do parzenia.  Jednostka sprzedaży 1 opakowanie (250g).</w:t>
            </w:r>
          </w:p>
        </w:tc>
        <w:tc>
          <w:tcPr>
            <w:tcW w:w="1700" w:type="dxa"/>
            <w:vAlign w:val="center"/>
          </w:tcPr>
          <w:p w:rsidR="00C72D95" w:rsidRPr="00337299" w:rsidRDefault="00AE2344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32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079E6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BC01F3">
        <w:trPr>
          <w:trHeight w:val="442"/>
        </w:trPr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5101" w:type="dxa"/>
            <w:vAlign w:val="bottom"/>
          </w:tcPr>
          <w:p w:rsidR="00C72D95" w:rsidRPr="00C72D95" w:rsidRDefault="00477B5F" w:rsidP="00C72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477B5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Cukier kryształowy sypki. Jednostka sprzedaży opakowanie (1 k)g.</w:t>
            </w:r>
          </w:p>
        </w:tc>
        <w:tc>
          <w:tcPr>
            <w:tcW w:w="1700" w:type="dxa"/>
            <w:vAlign w:val="center"/>
          </w:tcPr>
          <w:p w:rsidR="00C72D95" w:rsidRPr="00337299" w:rsidRDefault="0089290C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35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89290C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88.</w:t>
            </w:r>
          </w:p>
        </w:tc>
        <w:tc>
          <w:tcPr>
            <w:tcW w:w="5101" w:type="dxa"/>
            <w:vAlign w:val="bottom"/>
          </w:tcPr>
          <w:p w:rsidR="00C72D95" w:rsidRPr="00C72D95" w:rsidRDefault="00477B5F" w:rsidP="00DE4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477B5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Mleko 2 % 1 L, zgrzewka 12 szt. - CENA ZA 1 SZT</w:t>
            </w:r>
          </w:p>
        </w:tc>
        <w:tc>
          <w:tcPr>
            <w:tcW w:w="1700" w:type="dxa"/>
            <w:vAlign w:val="center"/>
          </w:tcPr>
          <w:p w:rsidR="00C72D95" w:rsidRPr="00337299" w:rsidRDefault="00AE2344" w:rsidP="00892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BC01F3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99.</w:t>
            </w:r>
          </w:p>
        </w:tc>
        <w:tc>
          <w:tcPr>
            <w:tcW w:w="5101" w:type="dxa"/>
            <w:vAlign w:val="bottom"/>
          </w:tcPr>
          <w:p w:rsidR="00C72D95" w:rsidRPr="00C72D95" w:rsidRDefault="00477B5F" w:rsidP="00DE4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477B5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Ciastka  domowe z marmoladą. Jednostka sprzedaży 1 opakowanie typu luz (2kg).</w:t>
            </w:r>
          </w:p>
        </w:tc>
        <w:tc>
          <w:tcPr>
            <w:tcW w:w="1700" w:type="dxa"/>
            <w:vAlign w:val="center"/>
          </w:tcPr>
          <w:p w:rsidR="00C72D95" w:rsidRPr="00337299" w:rsidRDefault="0089290C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BC01F3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111.</w:t>
            </w:r>
          </w:p>
        </w:tc>
        <w:tc>
          <w:tcPr>
            <w:tcW w:w="5101" w:type="dxa"/>
            <w:vAlign w:val="bottom"/>
          </w:tcPr>
          <w:p w:rsidR="00C72D95" w:rsidRPr="00C72D95" w:rsidRDefault="00477B5F" w:rsidP="00DE44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77B5F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Ciastka kruche o smaku maślanym dekorowane polewą czekoladopodobną, Jednostka sprzedaży 1 opakowanie typu luz (2 kg).</w:t>
            </w:r>
          </w:p>
        </w:tc>
        <w:tc>
          <w:tcPr>
            <w:tcW w:w="1700" w:type="dxa"/>
            <w:vAlign w:val="center"/>
          </w:tcPr>
          <w:p w:rsidR="00C72D95" w:rsidRPr="00337299" w:rsidRDefault="0089290C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BC01F3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112.</w:t>
            </w:r>
          </w:p>
        </w:tc>
        <w:tc>
          <w:tcPr>
            <w:tcW w:w="5101" w:type="dxa"/>
            <w:vAlign w:val="bottom"/>
          </w:tcPr>
          <w:p w:rsidR="00C72D95" w:rsidRPr="00C72D95" w:rsidRDefault="00477B5F" w:rsidP="00C72D95">
            <w:pPr>
              <w:spacing w:after="0" w:line="240" w:lineRule="auto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 w:rsidRPr="00477B5F"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Ciastka kakaowe z kremem kokosowym udekorowane wiórkami kokosowymi. Jednostka sprzedaży 1 opakowanie typu luz 2 Kg)</w:t>
            </w:r>
          </w:p>
        </w:tc>
        <w:tc>
          <w:tcPr>
            <w:tcW w:w="1700" w:type="dxa"/>
            <w:vAlign w:val="center"/>
          </w:tcPr>
          <w:p w:rsidR="00C72D95" w:rsidRPr="00337299" w:rsidRDefault="0089290C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BC01F3">
        <w:tc>
          <w:tcPr>
            <w:tcW w:w="567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13.</w:t>
            </w:r>
          </w:p>
        </w:tc>
        <w:tc>
          <w:tcPr>
            <w:tcW w:w="5101" w:type="dxa"/>
            <w:vAlign w:val="bottom"/>
          </w:tcPr>
          <w:p w:rsidR="00C72D95" w:rsidRPr="00C72D95" w:rsidRDefault="00477B5F" w:rsidP="00DE446A">
            <w:pPr>
              <w:spacing w:after="0" w:line="240" w:lineRule="auto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 w:rsidRPr="00477B5F"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Ciastka typu markizy przełożone kremem. Jednostka sprzedaży 1 opakowanie typu luz (2.2 kg)</w:t>
            </w:r>
          </w:p>
        </w:tc>
        <w:tc>
          <w:tcPr>
            <w:tcW w:w="1700" w:type="dxa"/>
            <w:vAlign w:val="center"/>
          </w:tcPr>
          <w:p w:rsidR="00C72D95" w:rsidRPr="00337299" w:rsidRDefault="0089290C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BC01F3">
        <w:tc>
          <w:tcPr>
            <w:tcW w:w="567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left="-316" w:firstLine="350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14.</w:t>
            </w:r>
          </w:p>
        </w:tc>
        <w:tc>
          <w:tcPr>
            <w:tcW w:w="5101" w:type="dxa"/>
            <w:vAlign w:val="bottom"/>
          </w:tcPr>
          <w:p w:rsidR="00C72D95" w:rsidRPr="00C72D95" w:rsidRDefault="00477B5F" w:rsidP="00C72D95">
            <w:pPr>
              <w:spacing w:after="0" w:line="240" w:lineRule="auto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 w:rsidRPr="00477B5F"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Rurki waflowe z kremem. Jednostka sprzedaży 1 opakowanie typu luz (3 kg)</w:t>
            </w:r>
          </w:p>
        </w:tc>
        <w:tc>
          <w:tcPr>
            <w:tcW w:w="1700" w:type="dxa"/>
            <w:vAlign w:val="center"/>
          </w:tcPr>
          <w:p w:rsidR="00C72D95" w:rsidRPr="00337299" w:rsidRDefault="0089290C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C72D95" w:rsidRPr="00C72D95" w:rsidTr="00BC01F3">
        <w:tc>
          <w:tcPr>
            <w:tcW w:w="567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15.</w:t>
            </w:r>
          </w:p>
        </w:tc>
        <w:tc>
          <w:tcPr>
            <w:tcW w:w="5101" w:type="dxa"/>
            <w:vAlign w:val="bottom"/>
          </w:tcPr>
          <w:p w:rsidR="00C72D95" w:rsidRPr="00C72D95" w:rsidRDefault="00337299" w:rsidP="00DE4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Waf</w:t>
            </w:r>
            <w:r w:rsidR="00477B5F" w:rsidRPr="00477B5F">
              <w:rPr>
                <w:rFonts w:ascii="Calibri" w:eastAsia="Times New Roman" w:hAnsi="Calibri" w:cs="Times New Roman"/>
                <w:color w:val="000000"/>
                <w:lang w:eastAsia="pl-PL"/>
              </w:rPr>
              <w:t>le z kremem czekoladowym. Jednostka sprzedaży 1 opakowanie 2.5 kg).</w:t>
            </w:r>
          </w:p>
        </w:tc>
        <w:tc>
          <w:tcPr>
            <w:tcW w:w="1700" w:type="dxa"/>
            <w:vAlign w:val="center"/>
          </w:tcPr>
          <w:p w:rsidR="00C72D95" w:rsidRPr="00337299" w:rsidRDefault="0089290C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337299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E32BAE" w:rsidRPr="00C72D95" w:rsidTr="00BC01F3">
        <w:tc>
          <w:tcPr>
            <w:tcW w:w="567" w:type="dxa"/>
          </w:tcPr>
          <w:p w:rsidR="00E32BAE" w:rsidRPr="00E32BAE" w:rsidRDefault="00E32BAE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E32BAE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16.</w:t>
            </w:r>
          </w:p>
        </w:tc>
        <w:tc>
          <w:tcPr>
            <w:tcW w:w="5101" w:type="dxa"/>
            <w:vAlign w:val="bottom"/>
          </w:tcPr>
          <w:p w:rsidR="00E32BAE" w:rsidRPr="00E32BAE" w:rsidRDefault="00477B5F" w:rsidP="00AE1418">
            <w:pPr>
              <w:spacing w:after="0" w:line="240" w:lineRule="auto"/>
              <w:rPr>
                <w:rFonts w:ascii="Calibri" w:eastAsia="Times New Roman" w:hAnsi="Calibri" w:cs="Times New Roman"/>
                <w:kern w:val="20"/>
                <w:sz w:val="20"/>
                <w:szCs w:val="20"/>
              </w:rPr>
            </w:pPr>
            <w:r w:rsidRPr="00477B5F">
              <w:rPr>
                <w:rFonts w:ascii="Calibri" w:eastAsia="Times New Roman" w:hAnsi="Calibri" w:cs="Times New Roman"/>
                <w:kern w:val="20"/>
                <w:sz w:val="20"/>
                <w:szCs w:val="20"/>
              </w:rPr>
              <w:t>Ciastka kruche z nadzieniem owocowym. Jednostka sprzedaży 1 opakowanie typu luz  (1 kg)</w:t>
            </w:r>
          </w:p>
        </w:tc>
        <w:tc>
          <w:tcPr>
            <w:tcW w:w="1700" w:type="dxa"/>
            <w:vAlign w:val="center"/>
          </w:tcPr>
          <w:p w:rsidR="00E32BAE" w:rsidRPr="00337299" w:rsidRDefault="0089290C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  <w:r w:rsidRPr="00337299">
              <w:rPr>
                <w:rFonts w:eastAsia="Times New Roman" w:cstheme="minorHAnsi"/>
                <w:kern w:val="20"/>
                <w:sz w:val="20"/>
                <w:szCs w:val="20"/>
              </w:rPr>
              <w:t>7</w:t>
            </w:r>
          </w:p>
        </w:tc>
        <w:tc>
          <w:tcPr>
            <w:tcW w:w="1700" w:type="dxa"/>
            <w:vAlign w:val="center"/>
          </w:tcPr>
          <w:p w:rsidR="00E32BAE" w:rsidRPr="00337299" w:rsidRDefault="00E32BAE" w:rsidP="00BC01F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32BAE" w:rsidRPr="00337299" w:rsidRDefault="00E32BAE" w:rsidP="00BC01F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E32BAE" w:rsidRPr="00337299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2BAE" w:rsidRPr="00337299" w:rsidRDefault="00E32BAE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  <w:tr w:rsidR="006458CB" w:rsidRPr="00C72D95" w:rsidTr="00982CF1">
        <w:tc>
          <w:tcPr>
            <w:tcW w:w="10768" w:type="dxa"/>
            <w:gridSpan w:val="5"/>
            <w:hideMark/>
          </w:tcPr>
          <w:p w:rsidR="006458CB" w:rsidRPr="00C72D95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Calibri" w:eastAsia="Times New Roman" w:hAnsi="Calibri" w:cs="TimesNewRomanPSMT"/>
                <w:b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20"/>
                <w:szCs w:val="20"/>
              </w:rPr>
              <w:t>Razem</w:t>
            </w:r>
          </w:p>
        </w:tc>
        <w:tc>
          <w:tcPr>
            <w:tcW w:w="1700" w:type="dxa"/>
            <w:vAlign w:val="center"/>
          </w:tcPr>
          <w:p w:rsidR="006458CB" w:rsidRPr="00337299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58CB" w:rsidRPr="00337299" w:rsidRDefault="006458CB" w:rsidP="006458C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eastAsia="Times New Roman" w:cstheme="minorHAnsi"/>
                <w:kern w:val="20"/>
                <w:sz w:val="20"/>
                <w:szCs w:val="20"/>
              </w:rPr>
            </w:pPr>
          </w:p>
        </w:tc>
      </w:tr>
    </w:tbl>
    <w:p w:rsidR="00C72D95" w:rsidRPr="00C72D95" w:rsidRDefault="00C72D95" w:rsidP="00C72D95">
      <w:pPr>
        <w:spacing w:after="0" w:line="360" w:lineRule="auto"/>
        <w:ind w:firstLine="709"/>
        <w:jc w:val="right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</w:p>
    <w:p w:rsidR="00E32BAE" w:rsidRDefault="00E32BAE" w:rsidP="00E32BAE">
      <w:pPr>
        <w:pStyle w:val="Zwykytekst"/>
      </w:pPr>
    </w:p>
    <w:p w:rsidR="00E32BAE" w:rsidRDefault="00E32BAE" w:rsidP="00E32BAE">
      <w:pPr>
        <w:pStyle w:val="Zwykytekst"/>
      </w:pPr>
    </w:p>
    <w:p w:rsidR="00C72D95" w:rsidRPr="00C72D95" w:rsidRDefault="00C72D95" w:rsidP="00E32BAE">
      <w:pPr>
        <w:spacing w:after="0" w:line="360" w:lineRule="auto"/>
        <w:ind w:firstLine="709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</w:p>
    <w:p w:rsidR="00C72D95" w:rsidRPr="00C72D95" w:rsidRDefault="00C72D95" w:rsidP="00C72D95">
      <w:pPr>
        <w:spacing w:after="0" w:line="360" w:lineRule="auto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</w:p>
    <w:p w:rsidR="00C72D95" w:rsidRPr="00C72D95" w:rsidRDefault="00C72D95" w:rsidP="00C72D95">
      <w:pPr>
        <w:spacing w:after="0" w:line="360" w:lineRule="auto"/>
        <w:ind w:firstLine="709"/>
        <w:rPr>
          <w:rFonts w:ascii="Times New Roman" w:eastAsia="Times New Roman" w:hAnsi="Times New Roman" w:cs="DejaVu Sans"/>
          <w:kern w:val="20"/>
          <w:sz w:val="24"/>
          <w:szCs w:val="20"/>
        </w:rPr>
      </w:pPr>
      <w:r w:rsidRPr="00C72D95">
        <w:rPr>
          <w:rFonts w:ascii="Times New Roman" w:eastAsia="Times New Roman" w:hAnsi="Times New Roman" w:cs="DejaVu Sans"/>
          <w:kern w:val="20"/>
          <w:sz w:val="20"/>
          <w:szCs w:val="20"/>
        </w:rPr>
        <w:t>……………………………………… dnia ……………………………..</w:t>
      </w:r>
    </w:p>
    <w:p w:rsidR="00C72D95" w:rsidRP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C72D95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C72D95" w:rsidRPr="00C72D95" w:rsidRDefault="00C72D95" w:rsidP="00C72D95">
      <w:pPr>
        <w:tabs>
          <w:tab w:val="center" w:pos="4536"/>
        </w:tabs>
        <w:spacing w:after="120" w:line="264" w:lineRule="auto"/>
        <w:ind w:left="9204"/>
        <w:rPr>
          <w:rFonts w:ascii="Calibri" w:eastAsia="Times New Roman" w:hAnsi="Calibri" w:cs="DejaVu Sans"/>
          <w:kern w:val="20"/>
        </w:rPr>
      </w:pPr>
      <w:r w:rsidRPr="00C72D95">
        <w:rPr>
          <w:rFonts w:ascii="Calibri" w:eastAsia="Times New Roman" w:hAnsi="Calibri" w:cs="DejaVu Sans"/>
          <w:i/>
          <w:kern w:val="20"/>
          <w:sz w:val="20"/>
          <w:szCs w:val="20"/>
        </w:rPr>
        <w:t>pieczęć i podpis Wykonawcy lub osoby upoważnionej do reprezentowania Wykonawcy</w:t>
      </w:r>
    </w:p>
    <w:p w:rsidR="00C72D95" w:rsidRPr="00C72D95" w:rsidRDefault="00C72D95" w:rsidP="00C72D95">
      <w:pPr>
        <w:spacing w:after="0" w:line="264" w:lineRule="auto"/>
        <w:jc w:val="left"/>
        <w:rPr>
          <w:rFonts w:ascii="Times New Roman" w:eastAsia="Times New Roman" w:hAnsi="Times New Roman" w:cs="DejaVu Sans"/>
          <w:kern w:val="20"/>
          <w:sz w:val="24"/>
          <w:szCs w:val="20"/>
        </w:rPr>
      </w:pPr>
    </w:p>
    <w:p w:rsidR="00F77FAA" w:rsidRPr="00C72D95" w:rsidRDefault="00F77FAA" w:rsidP="00C72D95"/>
    <w:sectPr w:rsidR="00F77FAA" w:rsidRPr="00C72D95" w:rsidSect="00C72D95">
      <w:headerReference w:type="default" r:id="rId9"/>
      <w:footerReference w:type="default" r:id="rId10"/>
      <w:pgSz w:w="16838" w:h="11906" w:orient="landscape"/>
      <w:pgMar w:top="1417" w:right="1276" w:bottom="1417" w:left="1560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DE" w:rsidRDefault="00017EDE" w:rsidP="0096319C">
      <w:pPr>
        <w:spacing w:after="0" w:line="240" w:lineRule="auto"/>
      </w:pPr>
      <w:r>
        <w:separator/>
      </w:r>
    </w:p>
  </w:endnote>
  <w:endnote w:type="continuationSeparator" w:id="0">
    <w:p w:rsidR="00017EDE" w:rsidRDefault="00017ED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A446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2098562</wp:posOffset>
          </wp:positionH>
          <wp:positionV relativeFrom="margin">
            <wp:posOffset>5389021</wp:posOffset>
          </wp:positionV>
          <wp:extent cx="5121275" cy="88392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DE" w:rsidRDefault="00017EDE" w:rsidP="0096319C">
      <w:pPr>
        <w:spacing w:after="0" w:line="240" w:lineRule="auto"/>
      </w:pPr>
      <w:r>
        <w:separator/>
      </w:r>
    </w:p>
  </w:footnote>
  <w:footnote w:type="continuationSeparator" w:id="0">
    <w:p w:rsidR="00017EDE" w:rsidRDefault="00017ED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52705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17EDE"/>
    <w:rsid w:val="000419F4"/>
    <w:rsid w:val="00057691"/>
    <w:rsid w:val="000975D9"/>
    <w:rsid w:val="000D6810"/>
    <w:rsid w:val="000F5D6C"/>
    <w:rsid w:val="000F6C5B"/>
    <w:rsid w:val="0010027F"/>
    <w:rsid w:val="00110DDA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2177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6AE4"/>
    <w:rsid w:val="00327536"/>
    <w:rsid w:val="00337299"/>
    <w:rsid w:val="00347818"/>
    <w:rsid w:val="00353167"/>
    <w:rsid w:val="00356B6B"/>
    <w:rsid w:val="003619E5"/>
    <w:rsid w:val="003643C2"/>
    <w:rsid w:val="00364E8F"/>
    <w:rsid w:val="00375EE8"/>
    <w:rsid w:val="003C5C71"/>
    <w:rsid w:val="0040554C"/>
    <w:rsid w:val="00414448"/>
    <w:rsid w:val="0041510F"/>
    <w:rsid w:val="00421D64"/>
    <w:rsid w:val="00430AB6"/>
    <w:rsid w:val="00447A39"/>
    <w:rsid w:val="00477B5F"/>
    <w:rsid w:val="00482CE3"/>
    <w:rsid w:val="00490710"/>
    <w:rsid w:val="00490A54"/>
    <w:rsid w:val="00490ECE"/>
    <w:rsid w:val="004A29F9"/>
    <w:rsid w:val="004A517F"/>
    <w:rsid w:val="004B17AB"/>
    <w:rsid w:val="004B2C9C"/>
    <w:rsid w:val="004D0E83"/>
    <w:rsid w:val="004D1211"/>
    <w:rsid w:val="004D3EE1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9A6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9290C"/>
    <w:rsid w:val="008A282A"/>
    <w:rsid w:val="008A28B5"/>
    <w:rsid w:val="008B669C"/>
    <w:rsid w:val="008C1EA0"/>
    <w:rsid w:val="008C389B"/>
    <w:rsid w:val="008E0580"/>
    <w:rsid w:val="008E4A65"/>
    <w:rsid w:val="0090323F"/>
    <w:rsid w:val="0091454B"/>
    <w:rsid w:val="00925055"/>
    <w:rsid w:val="00945076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A673C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1EA7"/>
    <w:rsid w:val="00A25D2B"/>
    <w:rsid w:val="00A405A6"/>
    <w:rsid w:val="00A446FD"/>
    <w:rsid w:val="00A45C1F"/>
    <w:rsid w:val="00A6013B"/>
    <w:rsid w:val="00A81A3C"/>
    <w:rsid w:val="00A87560"/>
    <w:rsid w:val="00A87BF4"/>
    <w:rsid w:val="00A91402"/>
    <w:rsid w:val="00A931C9"/>
    <w:rsid w:val="00AB459D"/>
    <w:rsid w:val="00AC5063"/>
    <w:rsid w:val="00AC6F71"/>
    <w:rsid w:val="00AE1418"/>
    <w:rsid w:val="00AE2344"/>
    <w:rsid w:val="00AE4BAC"/>
    <w:rsid w:val="00AF2EB4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B56FA"/>
    <w:rsid w:val="00BC01F3"/>
    <w:rsid w:val="00BC5A0A"/>
    <w:rsid w:val="00BC69A1"/>
    <w:rsid w:val="00BD4CE4"/>
    <w:rsid w:val="00BD58E3"/>
    <w:rsid w:val="00BD640A"/>
    <w:rsid w:val="00BF2545"/>
    <w:rsid w:val="00C079E6"/>
    <w:rsid w:val="00C10823"/>
    <w:rsid w:val="00C244BD"/>
    <w:rsid w:val="00C339B9"/>
    <w:rsid w:val="00C36F23"/>
    <w:rsid w:val="00C42DD8"/>
    <w:rsid w:val="00C663F8"/>
    <w:rsid w:val="00C70A3D"/>
    <w:rsid w:val="00C72D95"/>
    <w:rsid w:val="00C973F1"/>
    <w:rsid w:val="00CA434D"/>
    <w:rsid w:val="00CA78B7"/>
    <w:rsid w:val="00CB0E39"/>
    <w:rsid w:val="00CB24BC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5086B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8058-357C-4A75-8464-13B66D1D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87</TotalTime>
  <Pages>3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6</cp:revision>
  <cp:lastPrinted>2017-01-25T12:25:00Z</cp:lastPrinted>
  <dcterms:created xsi:type="dcterms:W3CDTF">2018-06-15T09:23:00Z</dcterms:created>
  <dcterms:modified xsi:type="dcterms:W3CDTF">2018-06-15T11:56:00Z</dcterms:modified>
</cp:coreProperties>
</file>