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CB499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rPr>
          <w:rFonts w:ascii="Segoe UI Light" w:hAnsi="Segoe UI Light" w:cstheme="minorBidi"/>
          <w:b/>
          <w:color w:val="auto"/>
          <w:sz w:val="20"/>
          <w:szCs w:val="22"/>
        </w:rPr>
        <w:t>Nr postępowania 85</w:t>
      </w:r>
      <w:r w:rsidR="006313FA"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57" w:rsidRDefault="00670C57" w:rsidP="003C0AB1">
      <w:pPr>
        <w:spacing w:after="0" w:line="240" w:lineRule="auto"/>
      </w:pPr>
      <w:r>
        <w:separator/>
      </w:r>
    </w:p>
  </w:endnote>
  <w:endnote w:type="continuationSeparator" w:id="1">
    <w:p w:rsidR="00670C57" w:rsidRDefault="00670C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C6F6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C6F6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57" w:rsidRDefault="00670C57" w:rsidP="003C0AB1">
      <w:pPr>
        <w:spacing w:after="0" w:line="240" w:lineRule="auto"/>
      </w:pPr>
      <w:r>
        <w:separator/>
      </w:r>
    </w:p>
  </w:footnote>
  <w:footnote w:type="continuationSeparator" w:id="1">
    <w:p w:rsidR="00670C57" w:rsidRDefault="00670C5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C6F6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C6F6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57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6F6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499A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