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FE1561">
        <w:rPr>
          <w:rFonts w:eastAsiaTheme="minorHAnsi"/>
        </w:rPr>
        <w:t>gminie Wiśniowa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</w:t>
      </w:r>
      <w:r w:rsidR="00FA57C9">
        <w:t>wego nr 46/02/2017/RZ, data:  22.02.2017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AE" w:rsidRDefault="00C57BAE" w:rsidP="003C0AB1">
      <w:pPr>
        <w:spacing w:after="0" w:line="240" w:lineRule="auto"/>
      </w:pPr>
      <w:r>
        <w:separator/>
      </w:r>
    </w:p>
  </w:endnote>
  <w:endnote w:type="continuationSeparator" w:id="0">
    <w:p w:rsidR="00C57BAE" w:rsidRDefault="00C57B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AE" w:rsidRDefault="00C57BAE" w:rsidP="003C0AB1">
      <w:pPr>
        <w:spacing w:after="0" w:line="240" w:lineRule="auto"/>
      </w:pPr>
      <w:r>
        <w:separator/>
      </w:r>
    </w:p>
  </w:footnote>
  <w:footnote w:type="continuationSeparator" w:id="0">
    <w:p w:rsidR="00C57BAE" w:rsidRDefault="00C57BA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CE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BAE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7C9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1561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2017-02-21T11:01:00Z</dcterms:created>
  <dcterms:modified xsi:type="dcterms:W3CDTF">2017-02-22T09:02:00Z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